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78" w:rsidRDefault="00215678" w:rsidP="00E6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60086" w:rsidRPr="00EC52A9" w:rsidRDefault="00E60086" w:rsidP="00E6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52A9">
        <w:rPr>
          <w:rFonts w:ascii="Times New Roman" w:eastAsia="Times New Roman" w:hAnsi="Times New Roman" w:cs="Times New Roman"/>
          <w:b/>
        </w:rPr>
        <w:t>UNITED STATES BANKRUPTCY COURT</w:t>
      </w:r>
    </w:p>
    <w:p w:rsidR="00E60086" w:rsidRPr="00E60086" w:rsidRDefault="00E60086" w:rsidP="00E6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52A9">
        <w:rPr>
          <w:rFonts w:ascii="Times New Roman" w:eastAsia="Times New Roman" w:hAnsi="Times New Roman" w:cs="Times New Roman"/>
          <w:b/>
        </w:rPr>
        <w:t>DISTRICT OF MAINE</w:t>
      </w:r>
    </w:p>
    <w:p w:rsidR="00E60086" w:rsidRPr="00E60086" w:rsidRDefault="00E60086" w:rsidP="00E60086">
      <w:pPr>
        <w:tabs>
          <w:tab w:val="left" w:pos="7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447"/>
      </w:tblGrid>
      <w:tr w:rsidR="00E60086" w:rsidRPr="00E60086" w:rsidTr="00D43277"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086">
              <w:rPr>
                <w:rFonts w:ascii="Times New Roman" w:eastAsia="Times New Roman" w:hAnsi="Times New Roman" w:cs="Times New Roman"/>
              </w:rPr>
              <w:t>In re:</w:t>
            </w: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 w:rsidRPr="00E60086">
              <w:rPr>
                <w:rFonts w:ascii="Times New Roman" w:eastAsia="Times New Roman" w:hAnsi="Times New Roman" w:cs="Times New Roman"/>
                <w:b/>
                <w:highlight w:val="yellow"/>
              </w:rPr>
              <w:t>DEBTOR NAME(S)</w:t>
            </w:r>
            <w:r>
              <w:rPr>
                <w:rFonts w:ascii="Times New Roman" w:eastAsia="Times New Roman" w:hAnsi="Times New Roman" w:cs="Times New Roman"/>
              </w:rPr>
              <w:t>],</w:t>
            </w: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E60086">
              <w:rPr>
                <w:rFonts w:ascii="Times New Roman" w:eastAsia="Times New Roman" w:hAnsi="Times New Roman" w:cs="Times New Roman"/>
              </w:rPr>
              <w:t>Debtor(s)</w:t>
            </w: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086">
              <w:rPr>
                <w:rFonts w:ascii="Times New Roman" w:eastAsia="Times New Roman" w:hAnsi="Times New Roman" w:cs="Times New Roman"/>
              </w:rPr>
              <w:t xml:space="preserve">Chapter 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E60086" w:rsidRPr="00E60086" w:rsidRDefault="00E60086" w:rsidP="00E60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086">
              <w:rPr>
                <w:rFonts w:ascii="Times New Roman" w:eastAsia="Times New Roman" w:hAnsi="Times New Roman" w:cs="Times New Roman"/>
              </w:rPr>
              <w:t>Case No. [</w:t>
            </w:r>
            <w:r w:rsidRPr="00E60086">
              <w:rPr>
                <w:rFonts w:ascii="Times New Roman" w:eastAsia="Times New Roman" w:hAnsi="Times New Roman" w:cs="Times New Roman"/>
                <w:highlight w:val="yellow"/>
              </w:rPr>
              <w:t xml:space="preserve">        </w:t>
            </w:r>
            <w:r w:rsidRPr="00E60086">
              <w:rPr>
                <w:rFonts w:ascii="Times New Roman" w:eastAsia="Times New Roman" w:hAnsi="Times New Roman" w:cs="Times New Roman"/>
              </w:rPr>
              <w:t>]</w:t>
            </w:r>
          </w:p>
        </w:tc>
      </w:tr>
    </w:tbl>
    <w:p w:rsidR="00E60086" w:rsidRDefault="00E60086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036EA" w:rsidRPr="006036EA" w:rsidRDefault="006036EA" w:rsidP="00603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6EA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EC52A9">
        <w:rPr>
          <w:rFonts w:ascii="Times New Roman" w:hAnsi="Times New Roman" w:cs="Times New Roman"/>
          <w:b/>
          <w:sz w:val="24"/>
          <w:szCs w:val="24"/>
          <w:u w:val="single"/>
        </w:rPr>
        <w:t>CONFIRMING</w:t>
      </w:r>
      <w:r w:rsidRPr="006036EA">
        <w:rPr>
          <w:rFonts w:ascii="Times New Roman" w:hAnsi="Times New Roman" w:cs="Times New Roman"/>
          <w:b/>
          <w:sz w:val="24"/>
          <w:szCs w:val="24"/>
          <w:u w:val="single"/>
        </w:rPr>
        <w:t xml:space="preserve"> CHAPTER 13 PLAN</w:t>
      </w:r>
    </w:p>
    <w:p w:rsidR="00E60086" w:rsidRDefault="00E60086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12EA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The debtor(s) filed a chapter 13 plan [</w:t>
      </w:r>
      <w:proofErr w:type="spellStart"/>
      <w:r w:rsidRPr="008A78EF">
        <w:rPr>
          <w:rFonts w:ascii="Times New Roman" w:hAnsi="Times New Roman" w:cs="Times New Roman"/>
          <w:sz w:val="24"/>
          <w:szCs w:val="24"/>
          <w:highlight w:val="yellow"/>
        </w:rPr>
        <w:t>Dkt</w:t>
      </w:r>
      <w:proofErr w:type="spellEnd"/>
      <w:r w:rsidRPr="008A78EF">
        <w:rPr>
          <w:rFonts w:ascii="Times New Roman" w:hAnsi="Times New Roman" w:cs="Times New Roman"/>
          <w:sz w:val="24"/>
          <w:szCs w:val="24"/>
          <w:highlight w:val="yellow"/>
        </w:rPr>
        <w:t>. No</w:t>
      </w:r>
      <w:r w:rsidRPr="00E6008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E6008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gramStart"/>
      <w:r w:rsidRPr="00E6008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r w:rsidRPr="00E6008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A78EF">
        <w:rPr>
          <w:rFonts w:ascii="Times New Roman" w:hAnsi="Times New Roman" w:cs="Times New Roman"/>
          <w:sz w:val="24"/>
          <w:szCs w:val="24"/>
        </w:rPr>
        <w:t xml:space="preserve"> dated [</w:t>
      </w:r>
      <w:r w:rsidRPr="008A78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date of plan</w:t>
      </w:r>
      <w:r w:rsidRPr="008A78EF">
        <w:rPr>
          <w:rFonts w:ascii="Times New Roman" w:hAnsi="Times New Roman" w:cs="Times New Roman"/>
          <w:sz w:val="24"/>
          <w:szCs w:val="24"/>
        </w:rPr>
        <w:t>].   The chapter 13 plan and notice of the hearing on confirmation were transmitted to creditors and other parties in accordance with the applicable provision</w:t>
      </w:r>
      <w:r w:rsidR="00696002">
        <w:rPr>
          <w:rFonts w:ascii="Times New Roman" w:hAnsi="Times New Roman" w:cs="Times New Roman"/>
          <w:sz w:val="24"/>
          <w:szCs w:val="24"/>
        </w:rPr>
        <w:t>s</w:t>
      </w:r>
      <w:r w:rsidRPr="008A78EF">
        <w:rPr>
          <w:rFonts w:ascii="Times New Roman" w:hAnsi="Times New Roman" w:cs="Times New Roman"/>
          <w:sz w:val="24"/>
          <w:szCs w:val="24"/>
        </w:rPr>
        <w:t xml:space="preserve"> of the Federal Rules of Bankruptcy Procedure and this Court’s Local Rules.</w:t>
      </w:r>
    </w:p>
    <w:p w:rsidR="008A78EF" w:rsidRP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78EF" w:rsidRP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At or before the hearing on confirmation, the debtor(s) modified the plan under 11 U.S.C. §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8A78EF">
        <w:rPr>
          <w:rFonts w:ascii="Times New Roman" w:hAnsi="Times New Roman" w:cs="Times New Roman"/>
          <w:sz w:val="24"/>
          <w:szCs w:val="24"/>
        </w:rPr>
        <w:t>1323 as follows:</w:t>
      </w:r>
    </w:p>
    <w:p w:rsid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78EF" w:rsidRP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pacing w:val="-1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[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describe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modifications,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 if any,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here.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If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none,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indicate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78EF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“None.”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]</w:t>
      </w:r>
    </w:p>
    <w:p w:rsid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78EF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After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notice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and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opportunity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for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hearing,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Court </w:t>
      </w:r>
      <w:r w:rsidRPr="008A78EF">
        <w:rPr>
          <w:rFonts w:ascii="Times New Roman" w:hAnsi="Times New Roman" w:cs="Times New Roman"/>
          <w:sz w:val="24"/>
          <w:szCs w:val="24"/>
        </w:rPr>
        <w:t>concludes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that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 xml:space="preserve">the plan (as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modified,</w:t>
      </w:r>
      <w:r w:rsidRPr="008A78E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 xml:space="preserve">if applicable)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meets</w:t>
      </w:r>
      <w:r w:rsidRPr="008A78EF">
        <w:rPr>
          <w:rFonts w:ascii="Times New Roman" w:hAnsi="Times New Roman" w:cs="Times New Roman"/>
          <w:sz w:val="24"/>
          <w:szCs w:val="24"/>
        </w:rPr>
        <w:t xml:space="preserve"> the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Pr="008A78EF">
        <w:rPr>
          <w:rFonts w:ascii="Times New Roman" w:hAnsi="Times New Roman" w:cs="Times New Roman"/>
          <w:sz w:val="24"/>
          <w:szCs w:val="24"/>
        </w:rPr>
        <w:t xml:space="preserve"> of 11 U.S.C.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§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1325.</w:t>
      </w:r>
      <w:r w:rsidRPr="008A78E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It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therefore</w:t>
      </w:r>
      <w:r w:rsidRPr="008A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ORDERED</w:t>
      </w:r>
      <w:r w:rsidRPr="008A7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that</w:t>
      </w:r>
      <w:r w:rsidRPr="008A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</w:t>
      </w:r>
      <w:r w:rsidRPr="008A78E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plan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confirmed </w:t>
      </w:r>
      <w:r w:rsidRPr="008A78EF">
        <w:rPr>
          <w:rFonts w:ascii="Times New Roman" w:hAnsi="Times New Roman" w:cs="Times New Roman"/>
          <w:sz w:val="24"/>
          <w:szCs w:val="24"/>
        </w:rPr>
        <w:t>under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section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1325.</w:t>
      </w:r>
    </w:p>
    <w:p w:rsid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8A78EF">
        <w:rPr>
          <w:rFonts w:ascii="Times New Roman" w:hAnsi="Times New Roman" w:cs="Times New Roman"/>
          <w:sz w:val="24"/>
          <w:szCs w:val="24"/>
          <w:highlight w:val="yellow"/>
        </w:rPr>
        <w:t>Judge’s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States Bankruptcy Judge</w:t>
      </w:r>
    </w:p>
    <w:p w:rsidR="008A78EF" w:rsidRPr="008A78EF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of Maine</w:t>
      </w:r>
    </w:p>
    <w:sectPr w:rsidR="008A78EF" w:rsidRPr="008A78EF" w:rsidSect="0021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78" w:rsidRDefault="00215678" w:rsidP="00215678">
      <w:pPr>
        <w:spacing w:after="0" w:line="240" w:lineRule="auto"/>
      </w:pPr>
      <w:r>
        <w:separator/>
      </w:r>
    </w:p>
  </w:endnote>
  <w:endnote w:type="continuationSeparator" w:id="0">
    <w:p w:rsidR="00215678" w:rsidRDefault="00215678" w:rsidP="002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Default="00F80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Default="00F80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Default="00F8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78" w:rsidRDefault="00215678" w:rsidP="00215678">
      <w:pPr>
        <w:spacing w:after="0" w:line="240" w:lineRule="auto"/>
      </w:pPr>
      <w:r>
        <w:separator/>
      </w:r>
    </w:p>
  </w:footnote>
  <w:footnote w:type="continuationSeparator" w:id="0">
    <w:p w:rsidR="00215678" w:rsidRDefault="00215678" w:rsidP="0021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Default="00F8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78" w:rsidRPr="00215678" w:rsidRDefault="00215678">
    <w:pPr>
      <w:pStyle w:val="Header"/>
      <w:rPr>
        <w:rFonts w:ascii="Times New Roman" w:hAnsi="Times New Roman"/>
        <w:sz w:val="16"/>
      </w:rPr>
    </w:pPr>
    <w:r w:rsidRPr="00215678">
      <w:rPr>
        <w:rFonts w:ascii="Times New Roman" w:hAnsi="Times New Roman"/>
        <w:sz w:val="16"/>
      </w:rPr>
      <w:t>ME Bk Form 2B (</w:t>
    </w:r>
    <w:r w:rsidR="00F80D80">
      <w:rPr>
        <w:rFonts w:ascii="Times New Roman" w:hAnsi="Times New Roman"/>
        <w:sz w:val="16"/>
      </w:rPr>
      <w:t>5/19</w:t>
    </w:r>
    <w:r w:rsidRPr="00215678">
      <w:rPr>
        <w:rFonts w:ascii="Times New Roman" w:hAnsi="Times New Roman"/>
        <w:sz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Default="00F80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EF"/>
    <w:rsid w:val="00194665"/>
    <w:rsid w:val="00215678"/>
    <w:rsid w:val="006036EA"/>
    <w:rsid w:val="00627193"/>
    <w:rsid w:val="00696002"/>
    <w:rsid w:val="008A78EF"/>
    <w:rsid w:val="00AA12EA"/>
    <w:rsid w:val="00E60086"/>
    <w:rsid w:val="00EC52A9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B3E12B3-9794-41F2-B6B7-8099260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78"/>
  </w:style>
  <w:style w:type="paragraph" w:styleId="Footer">
    <w:name w:val="footer"/>
    <w:basedOn w:val="Normal"/>
    <w:link w:val="Foot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Dilios</dc:creator>
  <cp:keywords/>
  <dc:description/>
  <cp:lastModifiedBy>Kelli Felkel</cp:lastModifiedBy>
  <cp:revision>2</cp:revision>
  <dcterms:created xsi:type="dcterms:W3CDTF">2019-05-14T16:38:00Z</dcterms:created>
  <dcterms:modified xsi:type="dcterms:W3CDTF">2019-05-14T16:38:00Z</dcterms:modified>
</cp:coreProperties>
</file>